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CBA" w:rsidRPr="00E9715D" w:rsidRDefault="00242CBA" w:rsidP="00242CBA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242CBA" w:rsidRDefault="00242CBA" w:rsidP="00242CBA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242CBA" w:rsidRDefault="00242CBA" w:rsidP="00242CBA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42CBA" w:rsidRPr="00E9715D" w:rsidRDefault="00242CBA" w:rsidP="00242CBA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242CBA" w:rsidRPr="00E9715D" w:rsidRDefault="00242CBA" w:rsidP="00242CBA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242CBA" w:rsidRPr="00927AA2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CBA" w:rsidRPr="00B80A8F" w:rsidRDefault="00242CBA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CBA" w:rsidRPr="00CD3552" w:rsidRDefault="00242CBA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proofErr w:type="spellStart"/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242CBA" w:rsidTr="0094201C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CBA" w:rsidRPr="00B80A8F" w:rsidRDefault="00242CBA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proofErr w:type="spellStart"/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  <w:proofErr w:type="spellEnd"/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2CBA" w:rsidRPr="00905947" w:rsidRDefault="00242CBA" w:rsidP="0094201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proofErr w:type="spellStart"/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  <w:proofErr w:type="spellEnd"/>
          </w:p>
        </w:tc>
      </w:tr>
    </w:tbl>
    <w:p w:rsidR="00242CBA" w:rsidRPr="0062334F" w:rsidRDefault="00242CBA" w:rsidP="00242CB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2CBA" w:rsidRPr="0062334F" w:rsidRDefault="00242CBA" w:rsidP="00242CBA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proofErr w:type="gramStart"/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648D7" w:rsidRPr="00E648D7" w:rsidRDefault="00E648D7" w:rsidP="00E648D7">
      <w:pPr>
        <w:tabs>
          <w:tab w:val="left" w:pos="7110"/>
        </w:tabs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648D7">
        <w:rPr>
          <w:rFonts w:ascii="Times New Roman" w:eastAsia="Times New Roman" w:hAnsi="Times New Roman" w:cs="Times New Roman"/>
          <w:sz w:val="36"/>
          <w:szCs w:val="36"/>
          <w:lang w:eastAsia="ru-RU"/>
        </w:rPr>
        <w:tab/>
      </w:r>
    </w:p>
    <w:p w:rsidR="00E648D7" w:rsidRPr="00E648D7" w:rsidRDefault="00E648D7" w:rsidP="00E648D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48D7" w:rsidRPr="00E648D7" w:rsidRDefault="00E648D7" w:rsidP="00E648D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E648D7" w:rsidRPr="00E648D7" w:rsidRDefault="00E648D7" w:rsidP="00E648D7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E648D7" w:rsidRPr="00E648D7" w:rsidRDefault="00E648D7" w:rsidP="00E648D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E648D7" w:rsidRPr="00E648D7" w:rsidRDefault="00E648D7" w:rsidP="00E648D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648D7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648D7">
        <w:rPr>
          <w:rFonts w:ascii="Times New Roman" w:eastAsia="Calibri" w:hAnsi="Times New Roman" w:cs="Times New Roman"/>
          <w:b/>
          <w:sz w:val="32"/>
          <w:szCs w:val="32"/>
        </w:rPr>
        <w:t xml:space="preserve">по охране труда для </w:t>
      </w:r>
      <w:r w:rsidR="00242CBA">
        <w:rPr>
          <w:rFonts w:ascii="Times New Roman" w:eastAsia="Calibri" w:hAnsi="Times New Roman" w:cs="Times New Roman"/>
          <w:b/>
          <w:sz w:val="32"/>
          <w:szCs w:val="32"/>
        </w:rPr>
        <w:t>дворника</w:t>
      </w: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648D7">
        <w:rPr>
          <w:rFonts w:ascii="Times New Roman" w:eastAsia="Calibri" w:hAnsi="Times New Roman" w:cs="Times New Roman"/>
          <w:b/>
          <w:sz w:val="32"/>
          <w:szCs w:val="32"/>
        </w:rPr>
        <w:t xml:space="preserve">ИОТ № </w:t>
      </w:r>
      <w:r w:rsidR="00242CBA">
        <w:rPr>
          <w:rFonts w:ascii="Times New Roman" w:eastAsia="Calibri" w:hAnsi="Times New Roman" w:cs="Times New Roman"/>
          <w:b/>
          <w:sz w:val="32"/>
          <w:szCs w:val="32"/>
        </w:rPr>
        <w:t>017-2023</w:t>
      </w:r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48D7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648D7">
        <w:rPr>
          <w:rFonts w:ascii="Times New Roman" w:eastAsia="Calibri" w:hAnsi="Times New Roman" w:cs="Times New Roman"/>
          <w:sz w:val="28"/>
          <w:szCs w:val="28"/>
        </w:rPr>
        <w:t>202</w:t>
      </w:r>
      <w:r w:rsidR="00242CBA">
        <w:rPr>
          <w:rFonts w:ascii="Times New Roman" w:eastAsia="Calibri" w:hAnsi="Times New Roman" w:cs="Times New Roman"/>
          <w:sz w:val="28"/>
          <w:szCs w:val="28"/>
        </w:rPr>
        <w:t>3</w:t>
      </w:r>
      <w:r w:rsidRPr="00E648D7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48D7" w:rsidRPr="00E648D7" w:rsidRDefault="00E648D7" w:rsidP="00E648D7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648D7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E648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E648D7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E648D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48D7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1.1. Настоящая инструкция регламентирует основные требования охраны труда для </w:t>
      </w:r>
      <w:r w:rsidR="00242CBA">
        <w:rPr>
          <w:rFonts w:ascii="Times New Roman" w:eastAsia="Calibri" w:hAnsi="Times New Roman" w:cs="Times New Roman"/>
          <w:sz w:val="24"/>
          <w:szCs w:val="24"/>
        </w:rPr>
        <w:t>дворника</w:t>
      </w:r>
      <w:r w:rsidRPr="00E648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1.2. К самостоятельной работе </w:t>
      </w:r>
      <w:r w:rsidR="00242CBA">
        <w:rPr>
          <w:rFonts w:ascii="Times New Roman" w:eastAsia="Calibri" w:hAnsi="Times New Roman" w:cs="Times New Roman"/>
          <w:sz w:val="24"/>
          <w:szCs w:val="24"/>
        </w:rPr>
        <w:t>дворником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E64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Работник, </w:t>
      </w:r>
      <w:proofErr w:type="gramStart"/>
      <w:r w:rsidRPr="00E648D7">
        <w:rPr>
          <w:rFonts w:ascii="Times New Roman" w:eastAsia="Calibri" w:hAnsi="Times New Roman" w:cs="Times New Roman"/>
          <w:color w:val="000000"/>
          <w:sz w:val="24"/>
          <w:szCs w:val="24"/>
        </w:rPr>
        <w:t>получивший  инструктаж</w:t>
      </w:r>
      <w:proofErr w:type="gramEnd"/>
      <w:r w:rsidRPr="00E64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показавший неудовлетворительные знания, к работе не допускается. Он обязан вновь пройти инструктаж.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в </w:t>
      </w:r>
      <w:r w:rsidR="00242CBA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1.8. </w:t>
      </w:r>
      <w:r w:rsidR="00242CBA">
        <w:rPr>
          <w:rFonts w:ascii="Times New Roman" w:eastAsia="Calibri" w:hAnsi="Times New Roman" w:cs="Times New Roman"/>
          <w:sz w:val="24"/>
          <w:szCs w:val="24"/>
        </w:rPr>
        <w:t>Дворник</w:t>
      </w:r>
      <w:r w:rsidRPr="00E648D7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1.9. При работе </w:t>
      </w:r>
      <w:proofErr w:type="gramStart"/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242CBA">
        <w:rPr>
          <w:rFonts w:ascii="Times New Roman" w:eastAsia="Calibri" w:hAnsi="Times New Roman" w:cs="Times New Roman"/>
          <w:sz w:val="24"/>
          <w:szCs w:val="24"/>
        </w:rPr>
        <w:t>дворником</w:t>
      </w:r>
      <w:proofErr w:type="gramEnd"/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возможно воздействие следующих опасных и вредных производственных факторов: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повышенная запыленность воздуха рабочей зоны;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повышенная или пониженная температура поверхностей оборудования, материалов;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повышенная или пониженная температура воздуха рабочей зоны;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значение напряжения в электрической цепи, замыкание которой может произойти через тело человека;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острые кромки, заусенцы и шероховатость на поверхностях заготовок, инструментов и оборудования;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расположение рабочего места на значительной высоте относительно поверхности земли (пола).</w:t>
      </w:r>
    </w:p>
    <w:p w:rsidR="000D4E86" w:rsidRPr="000D4E86" w:rsidRDefault="00E648D7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BA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1.10. </w:t>
      </w:r>
      <w:r w:rsidR="000D4E86"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рисков и опасностей при исполнении должностных обязанностей дворника:</w:t>
      </w:r>
    </w:p>
    <w:p w:rsidR="000D4E86" w:rsidRP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опасность удара из-за падения снега или сосулек с крыши; </w:t>
      </w:r>
    </w:p>
    <w:p w:rsidR="000D4E86" w:rsidRP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пореза в результате воздействия острых кромок и заусенцев;</w:t>
      </w:r>
    </w:p>
    <w:p w:rsidR="000D4E86" w:rsidRP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удара из-за падения случайных предметов;</w:t>
      </w:r>
    </w:p>
    <w:p w:rsidR="000D4E86" w:rsidRP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опасность укола из-за </w:t>
      </w:r>
      <w:proofErr w:type="spellStart"/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натыкания</w:t>
      </w:r>
      <w:proofErr w:type="spellEnd"/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неподвижную колющую поверхность (острие);</w:t>
      </w:r>
    </w:p>
    <w:p w:rsidR="000D4E86" w:rsidRP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опасность падения из-за потери равновесия при </w:t>
      </w:r>
      <w:proofErr w:type="spellStart"/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поскальзывании</w:t>
      </w:r>
      <w:proofErr w:type="spellEnd"/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передвижении по скользким поверхностям или мокрым полам;</w:t>
      </w:r>
    </w:p>
    <w:p w:rsidR="000D4E86" w:rsidRP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падения из-за потери равновесия при спотыкании;</w:t>
      </w:r>
    </w:p>
    <w:p w:rsidR="000D4E86" w:rsidRP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заболевания из-за воздействия пониженной температуры воздуха;</w:t>
      </w:r>
    </w:p>
    <w:p w:rsidR="000D4E86" w:rsidRP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перегрева из-за воздействия повышенной температуры воздуха;</w:t>
      </w:r>
    </w:p>
    <w:p w:rsidR="000D4E86" w:rsidRP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укуса животным;</w:t>
      </w:r>
    </w:p>
    <w:p w:rsidR="000D4E86" w:rsidRP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укуса насекомого;</w:t>
      </w:r>
    </w:p>
    <w:p w:rsidR="000D4E86" w:rsidRP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воздействия открытого пламени;</w:t>
      </w:r>
    </w:p>
    <w:p w:rsidR="000D4E86" w:rsidRP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от вдыхания дыма, паров вредных газов и пыли при пожаре;</w:t>
      </w:r>
    </w:p>
    <w:p w:rsidR="000D4E86" w:rsidRP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опасность наезда на человека.</w:t>
      </w:r>
    </w:p>
    <w:p w:rsidR="000D4E86" w:rsidRDefault="000D4E86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E648D7" w:rsidRPr="00E648D7" w:rsidRDefault="00E648D7" w:rsidP="000D4E86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</w:t>
      </w:r>
      <w:r w:rsidR="00242CBA">
        <w:rPr>
          <w:rFonts w:ascii="Times New Roman" w:eastAsia="Calibri" w:hAnsi="Times New Roman" w:cs="Times New Roman"/>
          <w:sz w:val="24"/>
          <w:szCs w:val="24"/>
        </w:rPr>
        <w:t>Дворник</w:t>
      </w:r>
      <w:r w:rsidRPr="00E6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</w:t>
      </w: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 работать в специальной одежде, специальной обуви и в случае необходимости использовать другие средства индивидуальной защиты.</w:t>
      </w:r>
    </w:p>
    <w:p w:rsidR="00E648D7" w:rsidRPr="00E648D7" w:rsidRDefault="00E648D7" w:rsidP="00E648D7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На основании п. 23 Приказа Минтруда России от 09.12.2014 N 997н "Об утверждении Типовых норм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загрязнением"  – дворнику положены следующие СИЗ: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костюм для защиты от общих производственных загрязнений и механических воздействий – 1 шт. на 1 год;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фартук из полимерных материалов с нагрудником – 2 шт. на 1 год;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сапоги резиновые с защитным </w:t>
      </w:r>
      <w:proofErr w:type="spellStart"/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подноском</w:t>
      </w:r>
      <w:proofErr w:type="spellEnd"/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 пара на 1 год;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перчатки с полимерным покрытием – 6 пар на 1 год.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Неиспользование средств индивидуальной защиты влечет к отстранению от выполнения работы без сохранения заработной платы.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1.12. </w:t>
      </w:r>
      <w:r w:rsidR="00242CBA">
        <w:rPr>
          <w:rFonts w:ascii="Times New Roman" w:eastAsia="Calibri" w:hAnsi="Times New Roman" w:cs="Times New Roman"/>
          <w:sz w:val="24"/>
          <w:szCs w:val="24"/>
        </w:rPr>
        <w:t>Дворник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</w:t>
      </w:r>
      <w:r w:rsidRPr="00E648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1.13. При обнаружении какой-либо неисправности оборудования, приспособлений и инструмента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1.14. Работник должен соблюдать правила личной гигиены. По окончании работы, перед приемом пищи необходимо мыть руки с мылом.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1.15. При выполнении работ </w:t>
      </w:r>
      <w:r w:rsidR="00242CBA">
        <w:rPr>
          <w:rFonts w:ascii="Times New Roman" w:eastAsia="Calibri" w:hAnsi="Times New Roman" w:cs="Times New Roman"/>
          <w:sz w:val="24"/>
          <w:szCs w:val="24"/>
        </w:rPr>
        <w:t>дворник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должен руководствоваться требованиями </w:t>
      </w:r>
      <w:r w:rsidRPr="00E648D7">
        <w:rPr>
          <w:rFonts w:ascii="Times New Roman" w:eastAsia="Calibri" w:hAnsi="Times New Roman" w:cs="Times New Roman"/>
          <w:bCs/>
          <w:sz w:val="24"/>
          <w:szCs w:val="24"/>
        </w:rPr>
        <w:t>СП 2.4.3648-20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«Санитарно-эпидемиологические требования к организациям воспитания и обучения, отдыха и оздоровления детей и молодежи».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1.16. Во избежание электротравм и поражений электрическим током </w:t>
      </w:r>
      <w:r w:rsidR="00242CBA">
        <w:rPr>
          <w:rFonts w:ascii="Times New Roman" w:eastAsia="Calibri" w:hAnsi="Times New Roman" w:cs="Times New Roman"/>
          <w:sz w:val="24"/>
          <w:szCs w:val="24"/>
        </w:rPr>
        <w:t>дворник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не должен прикасаться к открытой электропроводке и кабелям.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1.17. </w:t>
      </w:r>
      <w:r w:rsidR="00242CBA">
        <w:rPr>
          <w:rFonts w:ascii="Times New Roman" w:eastAsia="Calibri" w:hAnsi="Times New Roman" w:cs="Times New Roman"/>
          <w:sz w:val="24"/>
          <w:szCs w:val="24"/>
        </w:rPr>
        <w:t>Дворник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1.18.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1.19. </w:t>
      </w: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Курить разрешается только в специально </w:t>
      </w:r>
      <w:proofErr w:type="gramStart"/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>отведенных  и</w:t>
      </w:r>
      <w:proofErr w:type="gramEnd"/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оборудованных местах.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1.20. </w:t>
      </w:r>
      <w:r w:rsidR="00242CBA">
        <w:rPr>
          <w:rFonts w:ascii="Times New Roman" w:eastAsia="Calibri" w:hAnsi="Times New Roman" w:cs="Times New Roman"/>
          <w:sz w:val="24"/>
          <w:szCs w:val="24"/>
        </w:rPr>
        <w:t>Дворник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1.21.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1.22. Не допускается хранить и принимать пищу и напитки на рабочих местах.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1.23.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48D7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2.1.</w:t>
      </w: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>2.2.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Подготовить рабочее место для безопасной работы, проверить достаточность освещения рабочей поверхности (зоны), отсутствие слепящего действия света.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2.3.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2.4.</w:t>
      </w: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Проверить и надеть специальную одежду, специальную обувь, приготовить другие средства индивидуальной защиты. </w:t>
      </w:r>
      <w:r w:rsidRPr="00E648D7">
        <w:rPr>
          <w:rFonts w:ascii="Times New Roman" w:eastAsia="Calibri" w:hAnsi="Times New Roman" w:cs="Times New Roman"/>
          <w:color w:val="000000"/>
          <w:sz w:val="24"/>
          <w:szCs w:val="24"/>
        </w:rPr>
        <w:t>Запрещается закалывать одежду булавками, иголками, держать в карманах одежды острые, бьющиеся предметы.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2.5. Проверить оснащенность рабочего места необходимыми для работы оборудованием, инвентарем, приспособлениями. Проверить исправность оборудования и приспособлений. Запрещается работать неисправными приспособлениями или на неисправном оборудовании.</w:t>
      </w:r>
    </w:p>
    <w:p w:rsidR="00E648D7" w:rsidRPr="00E648D7" w:rsidRDefault="00E648D7" w:rsidP="00E648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E648D7" w:rsidRPr="00E648D7" w:rsidRDefault="00E648D7" w:rsidP="00E648D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lastRenderedPageBreak/>
        <w:t>3.3. Небрежное отношение к работе может привести к травмированию себя или находящегося рядом человека.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E648D7" w:rsidRPr="00E648D7" w:rsidRDefault="00E648D7" w:rsidP="00E648D7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</w:t>
      </w: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3.7. Во время работы соблюдать требования технологических инструкций и инструкций заводов-изготовителей оборудования.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3.8. Во время исполнения своих должностных обязанностей использовать полагающиеся средства индивидуальной защиты 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по назначению и бережно к ним относиться.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3.9. </w:t>
      </w:r>
      <w:r w:rsidRPr="00E648D7">
        <w:rPr>
          <w:rFonts w:ascii="Times New Roman" w:eastAsia="Calibri" w:hAnsi="Times New Roman" w:cs="Times New Roman"/>
          <w:sz w:val="24"/>
          <w:szCs w:val="24"/>
        </w:rPr>
        <w:t>Содержать в порядке и чистоте рабочее место, не допускать загромождения материалами, инвентарем, инструментом, приспособлениями, отходами, прочими предметами.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4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3.10. </w:t>
      </w:r>
      <w:r w:rsidRPr="00E648D7">
        <w:rPr>
          <w:rFonts w:ascii="Times New Roman" w:eastAsia="Calibri" w:hAnsi="Times New Roman" w:cs="Times New Roman"/>
          <w:sz w:val="24"/>
          <w:szCs w:val="24"/>
        </w:rPr>
        <w:t>Следить, чтобы на территории учреждения не было открытых люков и колодцев.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Не оставлять инвентарь без присмотра, не передавать его посторонним лицам.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3.12. При наличии на убираемой территории крупных травмоопасных предметов (проволоки, арматуры, битого стекла и т. п.) в первую очередь следует убрать их.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Уборку боя стекла, гвоздей, иголок и других острых (режущих) предметов производить с помощью совка и щетки с применением средств индивидуальной защиты.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3.14. Запрещается оставлять мусор на проезжей и пешеходных дорогах. Его необходимо собирать и отвозить в специально отведенное для этого место.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3.15. Не разрешается сметать мусор и отходы в люки, проемы, каналы и колодцы.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Не разрешается скапливать и сжигать мусор, бытовые отходы и другие материалы на территории учреждения.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3.17. В местах производства погрузочно-разгрузочных работ уборку производить только после их окончания.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3.18. При уборке вблизи штабелей, складированного груза необходимо убедиться в их устойчивости.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3.19. Запрещается уплотнять руками мусор в ведрах и других емкостях.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3.20. Следить, чтобы мусорный контейнер своевременно освобождался специализированной службой по вывозу мусора.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3.21. В зимнее время своевременно очищать от снега и льда ступени лестниц, пешеходные дорожки и посыпать их песком.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3.22. При работе с ломом и киркой требуется особая осторожность.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3.23. Не допускать свисающих глыб снега и сосулек по краям кровли и на козырьках. При необходимости убрать их при помощи специальных приспособлений.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3.24. Без наряда-допуска и дополнительного инструктажа по правилам охраны труда к работе по очистке кровли зданий от снега и мусора не приступать.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3.25. Во избежание травмирования прохожих во время очистки кровли и козырьков здания от снега или мусора опасную зону оградить или выставить сигнальщика.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lastRenderedPageBreak/>
        <w:t>3.26. Спуск ёмкости с мусором производить осторожно, опуская его вниз при помощи верёвки. Ёмкость должна быть надёжно привязана.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3.27. Во избежание падения с высоты при очистке </w:t>
      </w:r>
      <w:proofErr w:type="spellStart"/>
      <w:r w:rsidRPr="00E648D7">
        <w:rPr>
          <w:rFonts w:ascii="Times New Roman" w:eastAsia="Calibri" w:hAnsi="Times New Roman" w:cs="Times New Roman"/>
          <w:sz w:val="24"/>
          <w:szCs w:val="24"/>
        </w:rPr>
        <w:t>ливневок</w:t>
      </w:r>
      <w:proofErr w:type="spellEnd"/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запрещается подходить к краю кровли.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3.28. Работая секатором, ножовкой необходимо быть предельно осторожным. Внимание сосредоточить на этом инструменте и срезаемой ветви. Рука, поддерживающая ветвь не должна быть близко к месту среза.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3.29. Используя косу для скашивания травы, пользуйтесь для её заточки длинным (а не коротким) бруском или оселком во избежание пореза рук.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3.30. При окопе зелёных насаждений используйте исправный садово-огородный инвентарь.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3.31. Во избежание травм не класть грабли, скребки, мотыги и другой инструмент заострённой частью вверх.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3.32. Перед поливкой газонов, клумб, дорожек убедиться в исправности поливочного шланга и мест его соединения.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3.33. Не проводить какие-либо работы вблизи находящихся под напряжением кабелей, оголённых проводов и контактов.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3.34. Промывку урн проводить с обязательной </w:t>
      </w:r>
      <w:proofErr w:type="spellStart"/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дизинфекцией</w:t>
      </w:r>
      <w:proofErr w:type="spellEnd"/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дезрастворами</w:t>
      </w:r>
      <w:proofErr w:type="spellEnd"/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используя для этого резиновые перчатки.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3.35. Смену песка в песочных ящиках проводить не реже одного раза в месяц, а на ночь песочные ящики закрывать крышками.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3.36. Работу по обрезке кустарников проводить в рукавицах и защитных очках. Обрезку высоких кустарников проводить с лестниц-стремянок с металлическими наконечниками на ножках. Не приставлять лестницу к веткам деревьев и кустарников.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3.37. При прохождении по лестничному маршу держаться за перила и не допускать поспешности в передвижении.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3.38. При хождении по территории </w:t>
      </w:r>
      <w:r w:rsidRPr="00E648D7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проявлять внимание, опасаясь падения о выступающую тротуарную плитку или другие неровности.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3.39.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3.40. При работе с электрооборудованием: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3.40.1. Перед проведением любых работ по уходу за оборудованием отсоедините его от электросети. Простое выключение при помощи выключателя НЕ обеспечивает должной безопасности.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E648D7">
        <w:rPr>
          <w:rFonts w:ascii="Times New Roman" w:eastAsia="Calibri" w:hAnsi="Times New Roman" w:cs="Times New Roman"/>
          <w:bCs/>
          <w:sz w:val="24"/>
          <w:szCs w:val="24"/>
        </w:rPr>
        <w:t xml:space="preserve">.2. При подключении оборудования к электричеству </w:t>
      </w:r>
      <w:r w:rsidRPr="00E648D7">
        <w:rPr>
          <w:rFonts w:ascii="Times New Roman" w:eastAsia="Calibri" w:hAnsi="Times New Roman" w:cs="Times New Roman"/>
          <w:sz w:val="24"/>
          <w:szCs w:val="24"/>
        </w:rPr>
        <w:t>запрещается использовать тройники, переходники, адаптеры и т.п.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48D7">
        <w:rPr>
          <w:rFonts w:ascii="Times New Roman" w:eastAsia="Calibri" w:hAnsi="Times New Roman" w:cs="Times New Roman"/>
          <w:color w:val="000000"/>
          <w:sz w:val="24"/>
          <w:szCs w:val="24"/>
        </w:rPr>
        <w:t>3.40.3.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48D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3.40.4. </w:t>
      </w:r>
      <w:r w:rsidRPr="00E648D7">
        <w:rPr>
          <w:rFonts w:ascii="Times New Roman" w:eastAsia="Calibri" w:hAnsi="Times New Roman" w:cs="Times New Roman"/>
          <w:sz w:val="24"/>
          <w:szCs w:val="24"/>
        </w:rPr>
        <w:t>Не допускается оставлять включенное оборудование без присмотра.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3.40.5. Не прикасаться к открытым и </w:t>
      </w:r>
      <w:r w:rsidR="00A96FE5" w:rsidRPr="00E648D7">
        <w:rPr>
          <w:rFonts w:ascii="Times New Roman" w:eastAsia="Calibri" w:hAnsi="Times New Roman" w:cs="Times New Roman"/>
          <w:sz w:val="24"/>
          <w:szCs w:val="24"/>
        </w:rPr>
        <w:t>не ограждённым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токоведущим частям оборудования, оголенным и с поврежденной изоляцией проводам.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3.40.6. В случае любых неполадок, таких, как появление резкого запаха, огня, необычного шума, перегрева, и т. д. немедленно отключить оборудование.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648D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3.40.7. Отключать все приборы при прекращении подачи электроэнергии.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3.40.8. Не тяните за электрический шнур, чтобы вытащить вилку из розетки.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3.41. Не использовать для сидения случайные предметы (ящики, бочки и т.п.), оборудование.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3.42.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E6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>4.1. На рабочем месте дворника основными причинами возможных аварий и аварийных ситуаций могут являться:</w:t>
      </w:r>
    </w:p>
    <w:p w:rsidR="00E648D7" w:rsidRPr="00E648D7" w:rsidRDefault="00E648D7" w:rsidP="00E648D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E648D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- </w:t>
      </w: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правил эксплуатации, неисправности и несовершенство технологического оборудования;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- нарушения требований правил организации и ведения технологических процессов;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="00A96FE5">
        <w:rPr>
          <w:rFonts w:ascii="Times New Roman" w:eastAsia="Calibri" w:hAnsi="Times New Roman" w:cs="Times New Roman"/>
          <w:sz w:val="24"/>
          <w:szCs w:val="24"/>
        </w:rPr>
        <w:t>Дворник</w:t>
      </w: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Если произошел несчастный случай, очевидцем которого стал </w:t>
      </w:r>
      <w:r>
        <w:rPr>
          <w:rFonts w:ascii="Times New Roman" w:eastAsia="Calibri" w:hAnsi="Times New Roman" w:cs="Times New Roman"/>
          <w:sz w:val="24"/>
          <w:szCs w:val="24"/>
        </w:rPr>
        <w:t>уборщик территории</w:t>
      </w: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A96FE5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>
        <w:rPr>
          <w:rFonts w:ascii="Times New Roman" w:eastAsia="Calibri" w:hAnsi="Times New Roman" w:cs="Times New Roman"/>
          <w:sz w:val="24"/>
          <w:szCs w:val="24"/>
        </w:rPr>
        <w:t>уборщиком территории</w:t>
      </w: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A96FE5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="00A96FE5">
        <w:rPr>
          <w:rFonts w:ascii="Times New Roman" w:eastAsia="Calibri" w:hAnsi="Times New Roman" w:cs="Times New Roman"/>
          <w:sz w:val="24"/>
          <w:szCs w:val="24"/>
        </w:rPr>
        <w:t xml:space="preserve">Дворнику </w:t>
      </w: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>необходимо уметь оказывать первую помощь пострадавшему.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E648D7" w:rsidRPr="00E648D7" w:rsidRDefault="00E648D7" w:rsidP="00E648D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E648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E648D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E648D7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E648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E648D7" w:rsidRPr="00E648D7" w:rsidRDefault="00E648D7" w:rsidP="00E648D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5.1. </w:t>
      </w: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Привести в порядок рабочее место. </w:t>
      </w:r>
      <w:r w:rsidRPr="00E648D7">
        <w:rPr>
          <w:rFonts w:ascii="Times New Roman" w:eastAsia="Calibri" w:hAnsi="Times New Roman" w:cs="Times New Roman"/>
          <w:sz w:val="24"/>
          <w:szCs w:val="24"/>
        </w:rPr>
        <w:t>Выключить применяемое оборудование, электроприборы, местное освещение, убрать инструмент, приспособления, инвентарь в отведенные места хранения.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5.2. Убрать собранный мусор в мусорные баки.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5.3. Осмотреть уборочный и садовый инвентарь на целостность, произвести очистку от загрязнений.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5.4. </w:t>
      </w: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>Снять спецодежду и средства индивидуальной защиты и убрать их в предназначенное для них место.</w:t>
      </w:r>
      <w:r w:rsidRPr="00E648D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5.5. </w:t>
      </w:r>
      <w:r w:rsidRPr="00E648D7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E648D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648D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5.6. </w:t>
      </w:r>
      <w:r w:rsidRPr="00E648D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648D7">
        <w:rPr>
          <w:rFonts w:ascii="Times New Roman" w:eastAsia="Calibri" w:hAnsi="Times New Roman" w:cs="Times New Roman"/>
          <w:sz w:val="24"/>
          <w:szCs w:val="24"/>
        </w:rPr>
        <w:t xml:space="preserve">5.7. Покинуть территорию </w:t>
      </w:r>
      <w:r w:rsidRPr="00E648D7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E648D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648D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6B08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B08AE" w:rsidRPr="006B08AE">
        <w:rPr>
          <w:rFonts w:ascii="Times New Roman" w:eastAsia="Calibri" w:hAnsi="Times New Roman" w:cs="Times New Roman"/>
          <w:b/>
          <w:sz w:val="24"/>
          <w:szCs w:val="24"/>
        </w:rPr>
        <w:t>ИОТ № 017-2023</w:t>
      </w:r>
      <w:bookmarkStart w:id="0" w:name="_GoBack"/>
      <w:bookmarkEnd w:id="0"/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132"/>
        <w:gridCol w:w="2810"/>
        <w:gridCol w:w="1426"/>
        <w:gridCol w:w="990"/>
      </w:tblGrid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D7" w:rsidRPr="00E648D7" w:rsidRDefault="00E648D7" w:rsidP="00E648D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4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D7" w:rsidRPr="00E648D7" w:rsidRDefault="00E648D7" w:rsidP="00E648D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4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D7" w:rsidRPr="00E648D7" w:rsidRDefault="00E648D7" w:rsidP="00E648D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4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D7" w:rsidRPr="00E648D7" w:rsidRDefault="00E648D7" w:rsidP="00E648D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4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8D7" w:rsidRPr="00E648D7" w:rsidRDefault="00E648D7" w:rsidP="00E648D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48D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48D7" w:rsidRPr="00E648D7" w:rsidTr="00216914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8D7" w:rsidRPr="00E648D7" w:rsidRDefault="00E648D7" w:rsidP="00E648D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48D7" w:rsidRPr="00E648D7" w:rsidRDefault="00E648D7" w:rsidP="00E648D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48D7" w:rsidRDefault="00E648D7"/>
    <w:sectPr w:rsidR="00E648D7" w:rsidSect="009866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9C0" w:rsidRDefault="00EE39C0">
      <w:pPr>
        <w:spacing w:after="0" w:line="240" w:lineRule="auto"/>
      </w:pPr>
      <w:r>
        <w:separator/>
      </w:r>
    </w:p>
  </w:endnote>
  <w:endnote w:type="continuationSeparator" w:id="0">
    <w:p w:rsidR="00EE39C0" w:rsidRDefault="00EE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EE39C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E648D7" w:rsidP="00C145B9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B08AE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EE39C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EE39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9C0" w:rsidRDefault="00EE39C0">
      <w:pPr>
        <w:spacing w:after="0" w:line="240" w:lineRule="auto"/>
      </w:pPr>
      <w:r>
        <w:separator/>
      </w:r>
    </w:p>
  </w:footnote>
  <w:footnote w:type="continuationSeparator" w:id="0">
    <w:p w:rsidR="00EE39C0" w:rsidRDefault="00EE39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EE39C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EE39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EE39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8D7"/>
    <w:rsid w:val="000D4E86"/>
    <w:rsid w:val="00242CBA"/>
    <w:rsid w:val="004D6BD4"/>
    <w:rsid w:val="006B08AE"/>
    <w:rsid w:val="00A96FE5"/>
    <w:rsid w:val="00D967E4"/>
    <w:rsid w:val="00E256B2"/>
    <w:rsid w:val="00E648D7"/>
    <w:rsid w:val="00EE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42496"/>
  <w15:chartTrackingRefBased/>
  <w15:docId w15:val="{0CD371C6-96C8-443F-97B4-0ABAE206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48D7"/>
  </w:style>
  <w:style w:type="paragraph" w:styleId="a5">
    <w:name w:val="footer"/>
    <w:basedOn w:val="a"/>
    <w:link w:val="a6"/>
    <w:uiPriority w:val="99"/>
    <w:unhideWhenUsed/>
    <w:rsid w:val="00E64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48D7"/>
  </w:style>
  <w:style w:type="paragraph" w:styleId="a7">
    <w:name w:val="Balloon Text"/>
    <w:basedOn w:val="a"/>
    <w:link w:val="a8"/>
    <w:uiPriority w:val="99"/>
    <w:semiHidden/>
    <w:unhideWhenUsed/>
    <w:rsid w:val="006B0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08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2733</Words>
  <Characters>15580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5</cp:revision>
  <cp:lastPrinted>2024-03-22T10:34:00Z</cp:lastPrinted>
  <dcterms:created xsi:type="dcterms:W3CDTF">2023-08-11T06:21:00Z</dcterms:created>
  <dcterms:modified xsi:type="dcterms:W3CDTF">2024-03-22T10:34:00Z</dcterms:modified>
</cp:coreProperties>
</file>